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F9A3" w14:textId="5E4CD514" w:rsidR="00B03DF7" w:rsidRDefault="00E04317" w:rsidP="00024680">
      <w:pPr>
        <w:spacing w:line="240" w:lineRule="auto"/>
        <w:ind w:left="0" w:right="0" w:firstLine="0"/>
        <w:rPr>
          <w:b/>
          <w:sz w:val="36"/>
        </w:rPr>
      </w:pPr>
      <w:r>
        <w:rPr>
          <w:b/>
          <w:sz w:val="36"/>
        </w:rPr>
        <w:t>Extraction Procedure</w:t>
      </w:r>
    </w:p>
    <w:p w14:paraId="276B53CC" w14:textId="44974F3C" w:rsidR="00024680" w:rsidRDefault="00024680" w:rsidP="00211645">
      <w:pPr>
        <w:spacing w:line="240" w:lineRule="auto"/>
        <w:ind w:left="0" w:right="0" w:firstLine="0"/>
        <w:jc w:val="center"/>
        <w:rPr>
          <w:b/>
          <w:sz w:val="36"/>
        </w:rPr>
      </w:pPr>
      <w:r>
        <w:rPr>
          <w:b/>
          <w:noProof/>
          <w:sz w:val="36"/>
        </w:rPr>
        <w:drawing>
          <wp:anchor distT="0" distB="0" distL="114300" distR="114300" simplePos="0" relativeHeight="251658240" behindDoc="1" locked="0" layoutInCell="1" allowOverlap="1" wp14:anchorId="2F3AC948" wp14:editId="7BC78B02">
            <wp:simplePos x="0" y="0"/>
            <wp:positionH relativeFrom="margin">
              <wp:align>right</wp:align>
            </wp:positionH>
            <wp:positionV relativeFrom="paragraph">
              <wp:posOffset>5715</wp:posOffset>
            </wp:positionV>
            <wp:extent cx="6858000" cy="3365500"/>
            <wp:effectExtent l="0" t="0" r="0" b="6350"/>
            <wp:wrapNone/>
            <wp:docPr id="2" name="Picture 2"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58000" cy="3365500"/>
                    </a:xfrm>
                    <a:prstGeom prst="rect">
                      <a:avLst/>
                    </a:prstGeom>
                  </pic:spPr>
                </pic:pic>
              </a:graphicData>
            </a:graphic>
            <wp14:sizeRelH relativeFrom="page">
              <wp14:pctWidth>0</wp14:pctWidth>
            </wp14:sizeRelH>
            <wp14:sizeRelV relativeFrom="page">
              <wp14:pctHeight>0</wp14:pctHeight>
            </wp14:sizeRelV>
          </wp:anchor>
        </w:drawing>
      </w:r>
    </w:p>
    <w:p w14:paraId="5CE5C3B2" w14:textId="74DA80B7" w:rsidR="00211645" w:rsidRDefault="00211645" w:rsidP="00211645">
      <w:pPr>
        <w:spacing w:line="240" w:lineRule="auto"/>
        <w:ind w:left="0" w:right="0" w:firstLine="0"/>
        <w:jc w:val="center"/>
        <w:rPr>
          <w:b/>
          <w:sz w:val="36"/>
        </w:rPr>
      </w:pPr>
    </w:p>
    <w:p w14:paraId="75916990" w14:textId="4DB96A73" w:rsidR="00211645" w:rsidRDefault="00211645" w:rsidP="00211645">
      <w:pPr>
        <w:spacing w:line="240" w:lineRule="auto"/>
        <w:ind w:left="0" w:right="0" w:firstLine="0"/>
        <w:jc w:val="center"/>
        <w:rPr>
          <w:b/>
          <w:sz w:val="36"/>
        </w:rPr>
      </w:pPr>
    </w:p>
    <w:p w14:paraId="668BBAB6" w14:textId="77777777" w:rsidR="00211645" w:rsidRDefault="00211645" w:rsidP="00211645">
      <w:pPr>
        <w:spacing w:line="240" w:lineRule="auto"/>
        <w:ind w:left="0" w:right="0" w:firstLine="0"/>
        <w:jc w:val="center"/>
        <w:rPr>
          <w:b/>
          <w:sz w:val="36"/>
        </w:rPr>
      </w:pPr>
    </w:p>
    <w:p w14:paraId="1986CCA2" w14:textId="7ED84325" w:rsidR="00211645" w:rsidRDefault="00211645" w:rsidP="00211645">
      <w:pPr>
        <w:spacing w:line="240" w:lineRule="auto"/>
        <w:ind w:left="0" w:right="0" w:firstLine="0"/>
        <w:jc w:val="center"/>
        <w:rPr>
          <w:b/>
          <w:sz w:val="36"/>
        </w:rPr>
      </w:pPr>
    </w:p>
    <w:p w14:paraId="636527A2" w14:textId="509E576E" w:rsidR="00211645" w:rsidRDefault="00211645" w:rsidP="00211645">
      <w:pPr>
        <w:spacing w:line="240" w:lineRule="auto"/>
        <w:ind w:left="0" w:right="0" w:firstLine="0"/>
        <w:jc w:val="center"/>
        <w:rPr>
          <w:b/>
          <w:sz w:val="36"/>
        </w:rPr>
      </w:pPr>
    </w:p>
    <w:p w14:paraId="3AAE6850" w14:textId="77777777" w:rsidR="00211645" w:rsidRDefault="00211645" w:rsidP="00211645">
      <w:pPr>
        <w:spacing w:line="240" w:lineRule="auto"/>
        <w:ind w:left="0" w:right="0" w:firstLine="0"/>
        <w:jc w:val="center"/>
      </w:pPr>
    </w:p>
    <w:p w14:paraId="4FE4A592" w14:textId="77777777" w:rsidR="00B03DF7" w:rsidRDefault="00E04317" w:rsidP="00211645">
      <w:pPr>
        <w:spacing w:line="240" w:lineRule="auto"/>
        <w:ind w:left="360" w:right="2268" w:firstLine="0"/>
        <w:rPr>
          <w:sz w:val="20"/>
        </w:rPr>
      </w:pPr>
      <w:r>
        <w:rPr>
          <w:sz w:val="20"/>
        </w:rPr>
        <w:t xml:space="preserve"> </w:t>
      </w:r>
    </w:p>
    <w:p w14:paraId="11B0AA15" w14:textId="77777777" w:rsidR="00211645" w:rsidRDefault="00211645" w:rsidP="00211645">
      <w:pPr>
        <w:spacing w:line="240" w:lineRule="auto"/>
        <w:ind w:left="360" w:right="2268" w:firstLine="0"/>
        <w:rPr>
          <w:sz w:val="20"/>
        </w:rPr>
      </w:pPr>
    </w:p>
    <w:p w14:paraId="4179AB84" w14:textId="77777777" w:rsidR="00211645" w:rsidRDefault="00211645" w:rsidP="00253A40">
      <w:pPr>
        <w:spacing w:line="240" w:lineRule="auto"/>
        <w:ind w:left="360" w:right="2268" w:firstLine="720"/>
        <w:rPr>
          <w:sz w:val="20"/>
        </w:rPr>
      </w:pPr>
    </w:p>
    <w:p w14:paraId="73B5B028" w14:textId="77777777" w:rsidR="00211645" w:rsidRDefault="00211645" w:rsidP="00211645">
      <w:pPr>
        <w:spacing w:line="240" w:lineRule="auto"/>
        <w:ind w:left="360" w:right="2268" w:firstLine="0"/>
        <w:rPr>
          <w:sz w:val="20"/>
        </w:rPr>
      </w:pPr>
    </w:p>
    <w:p w14:paraId="1C33DA21" w14:textId="77777777" w:rsidR="00211645" w:rsidRDefault="00211645" w:rsidP="00211645">
      <w:pPr>
        <w:spacing w:line="240" w:lineRule="auto"/>
        <w:ind w:left="360" w:right="2268" w:firstLine="0"/>
        <w:rPr>
          <w:sz w:val="20"/>
        </w:rPr>
      </w:pPr>
    </w:p>
    <w:p w14:paraId="0C43F789" w14:textId="77777777" w:rsidR="00211645" w:rsidRDefault="00211645" w:rsidP="00211645">
      <w:pPr>
        <w:spacing w:line="240" w:lineRule="auto"/>
        <w:ind w:left="360" w:right="2268" w:firstLine="0"/>
        <w:rPr>
          <w:sz w:val="20"/>
        </w:rPr>
      </w:pPr>
    </w:p>
    <w:p w14:paraId="267C0A8D" w14:textId="77777777" w:rsidR="00211645" w:rsidRDefault="00211645" w:rsidP="00211645">
      <w:pPr>
        <w:spacing w:line="240" w:lineRule="auto"/>
        <w:ind w:left="360" w:right="2268" w:firstLine="0"/>
        <w:rPr>
          <w:sz w:val="20"/>
        </w:rPr>
      </w:pPr>
    </w:p>
    <w:p w14:paraId="7FAD9D82" w14:textId="77777777" w:rsidR="00211645" w:rsidRDefault="00211645" w:rsidP="00211645">
      <w:pPr>
        <w:spacing w:line="240" w:lineRule="auto"/>
        <w:ind w:left="360" w:right="2268" w:firstLine="0"/>
        <w:rPr>
          <w:sz w:val="20"/>
        </w:rPr>
      </w:pPr>
    </w:p>
    <w:p w14:paraId="42807FB5" w14:textId="77777777" w:rsidR="00211645" w:rsidRDefault="00211645" w:rsidP="00211645">
      <w:pPr>
        <w:spacing w:line="240" w:lineRule="auto"/>
        <w:ind w:left="360" w:right="2268" w:firstLine="0"/>
        <w:rPr>
          <w:sz w:val="20"/>
        </w:rPr>
      </w:pPr>
    </w:p>
    <w:p w14:paraId="56B029C7" w14:textId="77777777" w:rsidR="00211645" w:rsidRDefault="00211645" w:rsidP="00211645">
      <w:pPr>
        <w:spacing w:line="240" w:lineRule="auto"/>
        <w:ind w:left="360" w:right="2268" w:firstLine="0"/>
        <w:rPr>
          <w:sz w:val="20"/>
        </w:rPr>
      </w:pPr>
    </w:p>
    <w:p w14:paraId="3F3FAE21" w14:textId="77777777" w:rsidR="00B03DF7" w:rsidRDefault="00E04317" w:rsidP="00EC4133">
      <w:pPr>
        <w:spacing w:line="240" w:lineRule="auto"/>
        <w:ind w:left="360" w:right="2268" w:firstLine="0"/>
      </w:pPr>
      <w:r>
        <w:rPr>
          <w:sz w:val="20"/>
        </w:rPr>
        <w:t xml:space="preserve"> </w:t>
      </w:r>
    </w:p>
    <w:p w14:paraId="684EC189" w14:textId="5102E243" w:rsidR="00024680" w:rsidRPr="00024680" w:rsidRDefault="00024680" w:rsidP="00024680">
      <w:pPr>
        <w:pStyle w:val="Heading1"/>
        <w:numPr>
          <w:ilvl w:val="0"/>
          <w:numId w:val="7"/>
        </w:numPr>
        <w:rPr>
          <w:b w:val="0"/>
          <w:bCs/>
          <w:sz w:val="24"/>
          <w:szCs w:val="24"/>
        </w:rPr>
      </w:pPr>
      <w:r w:rsidRPr="00024680">
        <w:rPr>
          <w:b w:val="0"/>
          <w:bCs/>
          <w:sz w:val="24"/>
          <w:szCs w:val="24"/>
        </w:rPr>
        <w:t>Work in groups of two.  Each person in the group will perform the extraction.</w:t>
      </w:r>
    </w:p>
    <w:p w14:paraId="30638D25" w14:textId="77777777" w:rsidR="00024680" w:rsidRPr="00024680" w:rsidRDefault="00024680" w:rsidP="00024680">
      <w:pPr>
        <w:pStyle w:val="Heading1"/>
        <w:numPr>
          <w:ilvl w:val="0"/>
          <w:numId w:val="7"/>
        </w:numPr>
        <w:rPr>
          <w:b w:val="0"/>
          <w:bCs/>
          <w:sz w:val="24"/>
          <w:szCs w:val="24"/>
        </w:rPr>
      </w:pPr>
      <w:r w:rsidRPr="00024680">
        <w:rPr>
          <w:b w:val="0"/>
          <w:bCs/>
          <w:sz w:val="24"/>
          <w:szCs w:val="24"/>
        </w:rPr>
        <w:t>Place ~20 mL of the NaOH solution in an Erlenmeyer flask and place it on ice (only one per group).</w:t>
      </w:r>
    </w:p>
    <w:p w14:paraId="762A9F40" w14:textId="77777777" w:rsidR="00024680" w:rsidRPr="00024680" w:rsidRDefault="00024680" w:rsidP="00024680">
      <w:pPr>
        <w:pStyle w:val="Heading1"/>
        <w:numPr>
          <w:ilvl w:val="0"/>
          <w:numId w:val="7"/>
        </w:numPr>
        <w:rPr>
          <w:b w:val="0"/>
          <w:bCs/>
          <w:sz w:val="24"/>
          <w:szCs w:val="24"/>
        </w:rPr>
      </w:pPr>
      <w:r w:rsidRPr="00024680">
        <w:rPr>
          <w:b w:val="0"/>
          <w:bCs/>
          <w:sz w:val="24"/>
          <w:szCs w:val="24"/>
        </w:rPr>
        <w:t>Weigh out 0.25 g of the unknown and dissolve in 10 mL of ethyl acetate.</w:t>
      </w:r>
    </w:p>
    <w:p w14:paraId="5C2C6025" w14:textId="77777777" w:rsidR="00024680" w:rsidRPr="00024680" w:rsidRDefault="00024680" w:rsidP="00024680">
      <w:pPr>
        <w:pStyle w:val="Heading1"/>
        <w:numPr>
          <w:ilvl w:val="0"/>
          <w:numId w:val="7"/>
        </w:numPr>
        <w:rPr>
          <w:b w:val="0"/>
          <w:bCs/>
          <w:sz w:val="24"/>
          <w:szCs w:val="24"/>
        </w:rPr>
      </w:pPr>
      <w:r w:rsidRPr="00024680">
        <w:rPr>
          <w:b w:val="0"/>
          <w:bCs/>
          <w:sz w:val="24"/>
          <w:szCs w:val="24"/>
        </w:rPr>
        <w:t>Place the separatory funnel in a ring stand, close the stopcock, and add a small portion of water to make sure the separatory funnel doesn't leak. Tighten the nut if it does. Drain the water.</w:t>
      </w:r>
    </w:p>
    <w:p w14:paraId="2D715C0F" w14:textId="77777777" w:rsidR="00024680" w:rsidRPr="00024680" w:rsidRDefault="00024680" w:rsidP="00024680">
      <w:pPr>
        <w:pStyle w:val="Heading1"/>
        <w:numPr>
          <w:ilvl w:val="0"/>
          <w:numId w:val="7"/>
        </w:numPr>
        <w:rPr>
          <w:b w:val="0"/>
          <w:bCs/>
          <w:sz w:val="24"/>
          <w:szCs w:val="24"/>
        </w:rPr>
      </w:pPr>
      <w:r w:rsidRPr="00024680">
        <w:rPr>
          <w:b w:val="0"/>
          <w:bCs/>
          <w:sz w:val="24"/>
          <w:szCs w:val="24"/>
        </w:rPr>
        <w:t>Add your ethyl acetate solution to the separatory funnel and then add 10 mL of the HCl solution.</w:t>
      </w:r>
    </w:p>
    <w:p w14:paraId="70E58583" w14:textId="77777777" w:rsidR="00024680" w:rsidRPr="00024680" w:rsidRDefault="00024680" w:rsidP="00024680">
      <w:pPr>
        <w:pStyle w:val="Heading1"/>
        <w:numPr>
          <w:ilvl w:val="0"/>
          <w:numId w:val="7"/>
        </w:numPr>
        <w:rPr>
          <w:b w:val="0"/>
          <w:bCs/>
          <w:sz w:val="24"/>
          <w:szCs w:val="24"/>
        </w:rPr>
      </w:pPr>
      <w:r w:rsidRPr="00024680">
        <w:rPr>
          <w:b w:val="0"/>
          <w:bCs/>
          <w:sz w:val="24"/>
          <w:szCs w:val="24"/>
        </w:rPr>
        <w:t>Put the glass stopper on top of the separatory funnel, remove the funnel from the ring stand, and carefully shake the funnel while firmly holding the glass stopper on with one finger.</w:t>
      </w:r>
    </w:p>
    <w:p w14:paraId="303FD92B" w14:textId="77777777" w:rsidR="00024680" w:rsidRPr="00024680" w:rsidRDefault="00024680" w:rsidP="00024680">
      <w:pPr>
        <w:pStyle w:val="Heading1"/>
        <w:numPr>
          <w:ilvl w:val="0"/>
          <w:numId w:val="7"/>
        </w:numPr>
        <w:rPr>
          <w:b w:val="0"/>
          <w:bCs/>
          <w:sz w:val="24"/>
          <w:szCs w:val="24"/>
        </w:rPr>
      </w:pPr>
      <w:r w:rsidRPr="00024680">
        <w:rPr>
          <w:b w:val="0"/>
          <w:bCs/>
          <w:sz w:val="24"/>
          <w:szCs w:val="24"/>
        </w:rPr>
        <w:t>Stop shaking, invert the funnel, and slowly open the stopcock to vent the separatory funnel. You may hear a small hissing sound as gas escapes.</w:t>
      </w:r>
    </w:p>
    <w:p w14:paraId="1C7B13BA" w14:textId="77777777" w:rsidR="00024680" w:rsidRPr="00024680" w:rsidRDefault="00024680" w:rsidP="00024680">
      <w:pPr>
        <w:pStyle w:val="Heading1"/>
        <w:numPr>
          <w:ilvl w:val="0"/>
          <w:numId w:val="7"/>
        </w:numPr>
        <w:rPr>
          <w:b w:val="0"/>
          <w:bCs/>
          <w:sz w:val="24"/>
          <w:szCs w:val="24"/>
        </w:rPr>
      </w:pPr>
      <w:r w:rsidRPr="00024680">
        <w:rPr>
          <w:b w:val="0"/>
          <w:bCs/>
          <w:sz w:val="24"/>
          <w:szCs w:val="24"/>
        </w:rPr>
        <w:t>Close the stopcock, place the funnel upright back in the ring stand and remove the glass stopper.</w:t>
      </w:r>
    </w:p>
    <w:p w14:paraId="38B07686" w14:textId="77777777" w:rsidR="00024680" w:rsidRPr="00024680" w:rsidRDefault="00024680" w:rsidP="00024680">
      <w:pPr>
        <w:pStyle w:val="Heading1"/>
        <w:numPr>
          <w:ilvl w:val="0"/>
          <w:numId w:val="7"/>
        </w:numPr>
        <w:rPr>
          <w:b w:val="0"/>
          <w:bCs/>
          <w:sz w:val="24"/>
          <w:szCs w:val="24"/>
        </w:rPr>
      </w:pPr>
      <w:r w:rsidRPr="00024680">
        <w:rPr>
          <w:b w:val="0"/>
          <w:bCs/>
          <w:sz w:val="24"/>
          <w:szCs w:val="24"/>
        </w:rPr>
        <w:t>Drain the aqueous (bottom) layer into a clean Erlenmeyer flask (this is your acidic extract). The ethyl acetate (top) layer should remain in the separatory funnel.</w:t>
      </w:r>
    </w:p>
    <w:p w14:paraId="64BFD61C" w14:textId="77777777" w:rsidR="00024680" w:rsidRDefault="00024680" w:rsidP="00024680">
      <w:pPr>
        <w:pStyle w:val="Heading1"/>
        <w:numPr>
          <w:ilvl w:val="0"/>
          <w:numId w:val="7"/>
        </w:numPr>
        <w:rPr>
          <w:b w:val="0"/>
          <w:bCs/>
          <w:sz w:val="24"/>
          <w:szCs w:val="24"/>
        </w:rPr>
      </w:pPr>
      <w:r w:rsidRPr="00024680">
        <w:rPr>
          <w:b w:val="0"/>
          <w:bCs/>
          <w:sz w:val="24"/>
          <w:szCs w:val="24"/>
        </w:rPr>
        <w:t>With your partner, combine your ethyl acetate solutions together and combine your HCl solutions together.  One person in the group will isolate the unknown base compound and the other will isolate the unknown neutral compound.</w:t>
      </w:r>
    </w:p>
    <w:p w14:paraId="6FEA1EDF" w14:textId="77777777" w:rsidR="00024680" w:rsidRDefault="00024680" w:rsidP="00024680">
      <w:pPr>
        <w:pStyle w:val="Heading1"/>
        <w:ind w:left="0"/>
        <w:rPr>
          <w:b w:val="0"/>
          <w:bCs/>
          <w:sz w:val="24"/>
          <w:szCs w:val="24"/>
          <w:u w:val="single"/>
        </w:rPr>
      </w:pPr>
    </w:p>
    <w:p w14:paraId="2E85CB70" w14:textId="652C4F46" w:rsidR="00024680" w:rsidRPr="00024680" w:rsidRDefault="00024680" w:rsidP="00024680">
      <w:pPr>
        <w:pStyle w:val="Heading1"/>
        <w:ind w:left="0"/>
        <w:rPr>
          <w:b w:val="0"/>
          <w:bCs/>
          <w:sz w:val="24"/>
          <w:szCs w:val="24"/>
        </w:rPr>
      </w:pPr>
      <w:r w:rsidRPr="00024680">
        <w:rPr>
          <w:b w:val="0"/>
          <w:bCs/>
          <w:sz w:val="24"/>
          <w:szCs w:val="24"/>
          <w:u w:val="single"/>
        </w:rPr>
        <w:t>Isolating the unknown base</w:t>
      </w:r>
    </w:p>
    <w:p w14:paraId="5DDA444E" w14:textId="77777777" w:rsidR="00024680" w:rsidRPr="00024680" w:rsidRDefault="00024680" w:rsidP="00024680">
      <w:pPr>
        <w:pStyle w:val="Heading1"/>
        <w:numPr>
          <w:ilvl w:val="0"/>
          <w:numId w:val="8"/>
        </w:numPr>
        <w:rPr>
          <w:b w:val="0"/>
          <w:bCs/>
          <w:sz w:val="24"/>
          <w:szCs w:val="24"/>
        </w:rPr>
      </w:pPr>
      <w:r w:rsidRPr="00024680">
        <w:rPr>
          <w:b w:val="0"/>
          <w:bCs/>
          <w:sz w:val="24"/>
          <w:szCs w:val="24"/>
        </w:rPr>
        <w:t>Place the Erlenmeyer with the acidic extract into an ice bath for ten minutes beside the sodium hydroxide.</w:t>
      </w:r>
    </w:p>
    <w:p w14:paraId="197B3C28" w14:textId="77777777" w:rsidR="00024680" w:rsidRPr="00024680" w:rsidRDefault="00024680" w:rsidP="00024680">
      <w:pPr>
        <w:pStyle w:val="Heading1"/>
        <w:numPr>
          <w:ilvl w:val="0"/>
          <w:numId w:val="8"/>
        </w:numPr>
        <w:rPr>
          <w:b w:val="0"/>
          <w:bCs/>
          <w:sz w:val="24"/>
          <w:szCs w:val="24"/>
        </w:rPr>
      </w:pPr>
      <w:r w:rsidRPr="00024680">
        <w:rPr>
          <w:b w:val="0"/>
          <w:bCs/>
          <w:sz w:val="24"/>
          <w:szCs w:val="24"/>
        </w:rPr>
        <w:t>While still in the ice bath, neutralize the acidic extract (the first extract) with the cold ~10 mL of the NaOH solution. Check the pH with pH paper to ensure that it has been neutralized. The unknown base should have precipitated out of solution.  Note if no or very little precipitate appears: A thin layer of ethyl acetate is often on top of the aqueous solution.  Blow air across the top of the aqueous solution until precipitate appears.</w:t>
      </w:r>
    </w:p>
    <w:p w14:paraId="27BF7983" w14:textId="77777777" w:rsidR="00024680" w:rsidRDefault="00024680" w:rsidP="00024680">
      <w:pPr>
        <w:pStyle w:val="Heading1"/>
        <w:numPr>
          <w:ilvl w:val="0"/>
          <w:numId w:val="8"/>
        </w:numPr>
        <w:rPr>
          <w:b w:val="0"/>
          <w:bCs/>
          <w:sz w:val="24"/>
          <w:szCs w:val="24"/>
        </w:rPr>
      </w:pPr>
      <w:r w:rsidRPr="00024680">
        <w:rPr>
          <w:b w:val="0"/>
          <w:bCs/>
          <w:sz w:val="24"/>
          <w:szCs w:val="24"/>
        </w:rPr>
        <w:t>To isolate your unknown base, filter the solution with your Buchner funnel and scrape the solids onto a labeled weigh boat.  Store it in your locker until next week.</w:t>
      </w:r>
    </w:p>
    <w:p w14:paraId="764A4E0E" w14:textId="77777777" w:rsidR="00024680" w:rsidRPr="00024680" w:rsidRDefault="00024680" w:rsidP="00024680"/>
    <w:p w14:paraId="6B789146" w14:textId="26C8BA28" w:rsidR="00024680" w:rsidRPr="00024680" w:rsidRDefault="00024680" w:rsidP="00024680">
      <w:pPr>
        <w:pStyle w:val="Heading1"/>
        <w:ind w:left="0"/>
      </w:pPr>
      <w:r w:rsidRPr="00024680">
        <w:rPr>
          <w:b w:val="0"/>
          <w:bCs/>
          <w:sz w:val="24"/>
          <w:szCs w:val="24"/>
          <w:u w:val="single"/>
        </w:rPr>
        <w:lastRenderedPageBreak/>
        <w:t>Isolating the unknown neutral</w:t>
      </w:r>
    </w:p>
    <w:p w14:paraId="20332502" w14:textId="77777777" w:rsidR="00024680" w:rsidRPr="00024680" w:rsidRDefault="00024680" w:rsidP="00024680">
      <w:pPr>
        <w:pStyle w:val="Heading1"/>
        <w:numPr>
          <w:ilvl w:val="0"/>
          <w:numId w:val="9"/>
        </w:numPr>
        <w:rPr>
          <w:b w:val="0"/>
          <w:bCs/>
          <w:sz w:val="24"/>
          <w:szCs w:val="24"/>
        </w:rPr>
      </w:pPr>
      <w:r w:rsidRPr="00024680">
        <w:rPr>
          <w:b w:val="0"/>
          <w:bCs/>
          <w:sz w:val="24"/>
          <w:szCs w:val="24"/>
        </w:rPr>
        <w:t>Drain the remaining ethyl acetate solution into a small Erlenmeyer flask. Add approximately 4 spatulas worth of sodium sulfate.</w:t>
      </w:r>
    </w:p>
    <w:p w14:paraId="651F758C" w14:textId="77777777" w:rsidR="00024680" w:rsidRPr="00024680" w:rsidRDefault="00024680" w:rsidP="00024680">
      <w:pPr>
        <w:pStyle w:val="Heading1"/>
        <w:numPr>
          <w:ilvl w:val="0"/>
          <w:numId w:val="9"/>
        </w:numPr>
        <w:rPr>
          <w:b w:val="0"/>
          <w:bCs/>
          <w:sz w:val="24"/>
          <w:szCs w:val="24"/>
        </w:rPr>
      </w:pPr>
      <w:r w:rsidRPr="00024680">
        <w:rPr>
          <w:b w:val="0"/>
          <w:bCs/>
          <w:sz w:val="24"/>
          <w:szCs w:val="24"/>
        </w:rPr>
        <w:t xml:space="preserve">Remove the sodium sulfate by pouring your ethyl acetate solution through your glass funnel with a small piece of cotton at the base letting it drain into a clean beaker. Next, do one of the following: </w:t>
      </w:r>
    </w:p>
    <w:p w14:paraId="02ED6211" w14:textId="77777777" w:rsidR="00024680" w:rsidRPr="00024680" w:rsidRDefault="00024680" w:rsidP="00024680">
      <w:pPr>
        <w:pStyle w:val="Heading1"/>
        <w:numPr>
          <w:ilvl w:val="1"/>
          <w:numId w:val="9"/>
        </w:numPr>
        <w:rPr>
          <w:b w:val="0"/>
          <w:bCs/>
          <w:sz w:val="24"/>
          <w:szCs w:val="24"/>
        </w:rPr>
      </w:pPr>
      <w:r w:rsidRPr="00024680">
        <w:rPr>
          <w:b w:val="0"/>
          <w:bCs/>
          <w:sz w:val="24"/>
          <w:szCs w:val="24"/>
        </w:rPr>
        <w:t>If you are in 128K/120K then blow air over the solution to evaporate the solvent. You should be left with the neutral organic compound as a solid in the beaker.</w:t>
      </w:r>
    </w:p>
    <w:p w14:paraId="67D7D05C" w14:textId="77777777" w:rsidR="00024680" w:rsidRPr="00024680" w:rsidRDefault="00024680" w:rsidP="00024680">
      <w:pPr>
        <w:pStyle w:val="Heading1"/>
        <w:numPr>
          <w:ilvl w:val="1"/>
          <w:numId w:val="9"/>
        </w:numPr>
        <w:rPr>
          <w:b w:val="0"/>
          <w:bCs/>
          <w:sz w:val="24"/>
          <w:szCs w:val="24"/>
        </w:rPr>
      </w:pPr>
      <w:r w:rsidRPr="00024680">
        <w:rPr>
          <w:b w:val="0"/>
          <w:bCs/>
          <w:sz w:val="24"/>
          <w:szCs w:val="24"/>
        </w:rPr>
        <w:t xml:space="preserve">If you are in 220C, remove the solvent by simple distillation.  Add the ethyl acetate to your 50 mL round bottom flask with a </w:t>
      </w:r>
      <w:proofErr w:type="spellStart"/>
      <w:r w:rsidRPr="00024680">
        <w:rPr>
          <w:b w:val="0"/>
          <w:bCs/>
          <w:sz w:val="24"/>
          <w:szCs w:val="24"/>
        </w:rPr>
        <w:t>stirbar</w:t>
      </w:r>
      <w:proofErr w:type="spellEnd"/>
      <w:r w:rsidRPr="00024680">
        <w:rPr>
          <w:b w:val="0"/>
          <w:bCs/>
          <w:sz w:val="24"/>
          <w:szCs w:val="24"/>
        </w:rPr>
        <w:t xml:space="preserve">.  Use the 100 mL round bottom flask as your receiving flask and submerge it in ice water.  Set the hotplate to about 200 ºC and the </w:t>
      </w:r>
      <w:proofErr w:type="spellStart"/>
      <w:r w:rsidRPr="00024680">
        <w:rPr>
          <w:b w:val="0"/>
          <w:bCs/>
          <w:sz w:val="24"/>
          <w:szCs w:val="24"/>
        </w:rPr>
        <w:t>stirplate</w:t>
      </w:r>
      <w:proofErr w:type="spellEnd"/>
      <w:r w:rsidRPr="00024680">
        <w:rPr>
          <w:b w:val="0"/>
          <w:bCs/>
          <w:sz w:val="24"/>
          <w:szCs w:val="24"/>
        </w:rPr>
        <w:t xml:space="preserve"> to between 4 and 5.  Store the 50 mL round bottom flask </w:t>
      </w:r>
      <w:proofErr w:type="spellStart"/>
      <w:r w:rsidRPr="00024680">
        <w:rPr>
          <w:b w:val="0"/>
          <w:bCs/>
          <w:sz w:val="24"/>
          <w:szCs w:val="24"/>
        </w:rPr>
        <w:t>unstoppered</w:t>
      </w:r>
      <w:proofErr w:type="spellEnd"/>
      <w:r w:rsidRPr="00024680">
        <w:rPr>
          <w:b w:val="0"/>
          <w:bCs/>
          <w:sz w:val="24"/>
          <w:szCs w:val="24"/>
        </w:rPr>
        <w:t xml:space="preserve"> in your locker for the recrystallization next week. </w:t>
      </w:r>
    </w:p>
    <w:p w14:paraId="017CAB6A" w14:textId="77777777" w:rsidR="00024680" w:rsidRDefault="00024680" w:rsidP="00211645">
      <w:pPr>
        <w:pStyle w:val="Heading1"/>
        <w:jc w:val="center"/>
        <w:rPr>
          <w:sz w:val="36"/>
          <w:szCs w:val="36"/>
        </w:rPr>
      </w:pPr>
    </w:p>
    <w:p w14:paraId="4F80F71C" w14:textId="0B6A20E5" w:rsidR="00B03DF7" w:rsidRDefault="00E04317" w:rsidP="00024680">
      <w:pPr>
        <w:pStyle w:val="Heading1"/>
        <w:ind w:left="0"/>
        <w:rPr>
          <w:sz w:val="36"/>
          <w:szCs w:val="36"/>
        </w:rPr>
      </w:pPr>
      <w:r w:rsidRPr="00211645">
        <w:rPr>
          <w:sz w:val="36"/>
          <w:szCs w:val="36"/>
        </w:rPr>
        <w:t>Recrystallization Procedure</w:t>
      </w:r>
    </w:p>
    <w:p w14:paraId="2194D40D" w14:textId="77777777" w:rsidR="00211645" w:rsidRPr="00024680" w:rsidRDefault="00211645" w:rsidP="00024680">
      <w:pPr>
        <w:spacing w:line="259" w:lineRule="auto"/>
        <w:ind w:left="0" w:right="0" w:firstLine="0"/>
        <w:rPr>
          <w:sz w:val="16"/>
          <w:szCs w:val="16"/>
        </w:rPr>
      </w:pPr>
    </w:p>
    <w:p w14:paraId="6597B942" w14:textId="77777777" w:rsidR="00B03DF7" w:rsidRPr="00024680" w:rsidRDefault="00E04317" w:rsidP="00024680">
      <w:pPr>
        <w:spacing w:line="259" w:lineRule="auto"/>
        <w:ind w:left="0" w:right="0" w:firstLine="0"/>
        <w:rPr>
          <w:sz w:val="32"/>
          <w:szCs w:val="20"/>
          <w:vertAlign w:val="subscript"/>
        </w:rPr>
      </w:pPr>
      <w:r w:rsidRPr="00024680">
        <w:rPr>
          <w:b/>
          <w:color w:val="FF0000"/>
          <w:sz w:val="32"/>
          <w:szCs w:val="20"/>
        </w:rPr>
        <w:t>Note: Make sure you weigh and obtain a melting point of each of the crude samples before you recrystallize them.</w:t>
      </w:r>
      <w:r w:rsidRPr="00024680">
        <w:rPr>
          <w:sz w:val="32"/>
          <w:szCs w:val="20"/>
          <w:vertAlign w:val="subscript"/>
        </w:rPr>
        <w:t xml:space="preserve"> </w:t>
      </w:r>
    </w:p>
    <w:p w14:paraId="22E6F9F1" w14:textId="77777777" w:rsidR="00211645" w:rsidRPr="00024680" w:rsidRDefault="00211645" w:rsidP="00211645">
      <w:pPr>
        <w:spacing w:line="259" w:lineRule="auto"/>
        <w:ind w:left="0" w:right="0" w:firstLine="0"/>
        <w:rPr>
          <w:sz w:val="16"/>
          <w:szCs w:val="16"/>
        </w:rPr>
      </w:pPr>
    </w:p>
    <w:p w14:paraId="120F5F5B" w14:textId="77777777" w:rsidR="00E04317" w:rsidRPr="00E04317" w:rsidRDefault="00E04317" w:rsidP="00024680">
      <w:pPr>
        <w:numPr>
          <w:ilvl w:val="0"/>
          <w:numId w:val="10"/>
        </w:numPr>
        <w:spacing w:line="250" w:lineRule="auto"/>
        <w:ind w:right="0" w:hanging="360"/>
      </w:pPr>
      <w:r>
        <w:t>Remove the aluminum block from the hotplate, and turn the hotplate on to 250 ºC</w:t>
      </w:r>
      <w:r>
        <w:rPr>
          <w:rFonts w:ascii="Arial" w:eastAsia="Arial" w:hAnsi="Arial" w:cs="Arial"/>
          <w:sz w:val="20"/>
        </w:rPr>
        <w:t xml:space="preserve"> </w:t>
      </w:r>
      <w:r>
        <w:rPr>
          <w:rFonts w:ascii="Arial" w:eastAsia="Arial" w:hAnsi="Arial" w:cs="Arial"/>
          <w:sz w:val="20"/>
        </w:rPr>
        <w:tab/>
      </w:r>
    </w:p>
    <w:p w14:paraId="72C9E080" w14:textId="77777777" w:rsidR="00B03DF7" w:rsidRDefault="00E04317" w:rsidP="00024680">
      <w:pPr>
        <w:numPr>
          <w:ilvl w:val="0"/>
          <w:numId w:val="10"/>
        </w:numPr>
        <w:spacing w:line="250" w:lineRule="auto"/>
        <w:ind w:right="0" w:hanging="360"/>
      </w:pPr>
      <w:r>
        <w:t xml:space="preserve">Add roughly 75 mL of water to your largest beaker and place it on the hotplate. </w:t>
      </w:r>
    </w:p>
    <w:p w14:paraId="45B6826A" w14:textId="77777777" w:rsidR="00B03DF7" w:rsidRDefault="00E04317" w:rsidP="00024680">
      <w:pPr>
        <w:numPr>
          <w:ilvl w:val="0"/>
          <w:numId w:val="10"/>
        </w:numPr>
        <w:spacing w:line="250" w:lineRule="auto"/>
        <w:ind w:right="0" w:hanging="360"/>
      </w:pPr>
      <w:r>
        <w:t xml:space="preserve">Add roughly 20 mL of methanol to your second largest beaker and place it on the hotplate. </w:t>
      </w:r>
    </w:p>
    <w:p w14:paraId="05B5F65A" w14:textId="77777777" w:rsidR="00B03DF7" w:rsidRDefault="00E04317" w:rsidP="00024680">
      <w:pPr>
        <w:numPr>
          <w:ilvl w:val="0"/>
          <w:numId w:val="10"/>
        </w:numPr>
        <w:spacing w:line="250" w:lineRule="auto"/>
        <w:ind w:right="0" w:hanging="360"/>
      </w:pPr>
      <w:r>
        <w:t xml:space="preserve">Add your crude base and neutral compounds to </w:t>
      </w:r>
      <w:proofErr w:type="spellStart"/>
      <w:r>
        <w:t>seperate</w:t>
      </w:r>
      <w:proofErr w:type="spellEnd"/>
      <w:r>
        <w:t xml:space="preserve">, smaller beakers. Preferably, place the neutral compound in the smallest of the three beakers and place the base in the biggest of the three beakers. </w:t>
      </w:r>
    </w:p>
    <w:p w14:paraId="30B88601" w14:textId="77777777" w:rsidR="00B03DF7" w:rsidRDefault="00E04317" w:rsidP="00024680">
      <w:pPr>
        <w:numPr>
          <w:ilvl w:val="0"/>
          <w:numId w:val="10"/>
        </w:numPr>
        <w:spacing w:line="250" w:lineRule="auto"/>
        <w:ind w:right="0" w:hanging="360"/>
      </w:pPr>
      <w:r>
        <w:t xml:space="preserve">Obtain two plastic pipettes. </w:t>
      </w:r>
    </w:p>
    <w:p w14:paraId="31F9ADC1" w14:textId="77777777" w:rsidR="00B03DF7" w:rsidRDefault="00E04317" w:rsidP="00024680">
      <w:pPr>
        <w:numPr>
          <w:ilvl w:val="0"/>
          <w:numId w:val="10"/>
        </w:numPr>
        <w:spacing w:line="250" w:lineRule="auto"/>
        <w:ind w:right="0" w:hanging="360"/>
      </w:pPr>
      <w:r>
        <w:t xml:space="preserve">The methanol will begin to boil first. If the boiling is very vigorous turn the hotplate down or move the beaker to the edge of the hotplate where it is cooler. </w:t>
      </w:r>
    </w:p>
    <w:p w14:paraId="528B9356" w14:textId="77777777" w:rsidR="00B03DF7" w:rsidRDefault="00E04317" w:rsidP="00024680">
      <w:pPr>
        <w:numPr>
          <w:ilvl w:val="0"/>
          <w:numId w:val="10"/>
        </w:numPr>
        <w:spacing w:line="250" w:lineRule="auto"/>
        <w:ind w:right="0" w:hanging="360"/>
      </w:pPr>
      <w:r>
        <w:t xml:space="preserve">Add a pipette of hot methanol to the beaker containing the neutral compound. Keep adding hot methanol until there is enough liquid to cover the bottom of the beaker. </w:t>
      </w:r>
    </w:p>
    <w:p w14:paraId="4FA03C5B" w14:textId="77777777" w:rsidR="00B03DF7" w:rsidRDefault="00E04317" w:rsidP="00024680">
      <w:pPr>
        <w:numPr>
          <w:ilvl w:val="0"/>
          <w:numId w:val="10"/>
        </w:numPr>
        <w:spacing w:line="250" w:lineRule="auto"/>
        <w:ind w:right="0" w:hanging="360"/>
      </w:pPr>
      <w:r>
        <w:t xml:space="preserve">Place the beaker containing the neutral product onto the hotplate to reheat the solvent. </w:t>
      </w:r>
    </w:p>
    <w:p w14:paraId="51386166" w14:textId="77777777" w:rsidR="00B03DF7" w:rsidRDefault="00E04317" w:rsidP="00024680">
      <w:pPr>
        <w:numPr>
          <w:ilvl w:val="0"/>
          <w:numId w:val="10"/>
        </w:numPr>
        <w:spacing w:line="250" w:lineRule="auto"/>
        <w:ind w:right="0" w:hanging="360"/>
      </w:pPr>
      <w:r>
        <w:t xml:space="preserve">If the solvent begins to boil but there is still solid floating around, add another pipette of hot methanol. </w:t>
      </w:r>
    </w:p>
    <w:p w14:paraId="7AFD66EF" w14:textId="77777777" w:rsidR="00B03DF7" w:rsidRDefault="00E04317" w:rsidP="00024680">
      <w:pPr>
        <w:numPr>
          <w:ilvl w:val="0"/>
          <w:numId w:val="10"/>
        </w:numPr>
        <w:spacing w:line="250" w:lineRule="auto"/>
        <w:ind w:right="0" w:hanging="360"/>
      </w:pPr>
      <w:r>
        <w:t xml:space="preserve">Once </w:t>
      </w:r>
      <w:proofErr w:type="gramStart"/>
      <w:r>
        <w:t>all of</w:t>
      </w:r>
      <w:proofErr w:type="gramEnd"/>
      <w:r>
        <w:t xml:space="preserve"> the solid dissolves, remove the beaker containing the neutral compound off of the hot plate and cover with a watch glass to prevent the solvent from evaporating. </w:t>
      </w:r>
    </w:p>
    <w:p w14:paraId="6662D9B4" w14:textId="77777777" w:rsidR="00B03DF7" w:rsidRDefault="00E04317" w:rsidP="00024680">
      <w:pPr>
        <w:numPr>
          <w:ilvl w:val="0"/>
          <w:numId w:val="10"/>
        </w:numPr>
        <w:spacing w:line="250" w:lineRule="auto"/>
        <w:ind w:right="0" w:hanging="360"/>
      </w:pPr>
      <w:r>
        <w:t xml:space="preserve">Remove the beaker containing pure methanol from the hotplate. This is now </w:t>
      </w:r>
      <w:proofErr w:type="gramStart"/>
      <w:r>
        <w:t>waste</w:t>
      </w:r>
      <w:proofErr w:type="gramEnd"/>
      <w:r>
        <w:t xml:space="preserve">. </w:t>
      </w:r>
    </w:p>
    <w:p w14:paraId="7946CA65" w14:textId="77777777" w:rsidR="00B03DF7" w:rsidRDefault="00E04317" w:rsidP="00024680">
      <w:pPr>
        <w:numPr>
          <w:ilvl w:val="0"/>
          <w:numId w:val="10"/>
        </w:numPr>
        <w:spacing w:line="250" w:lineRule="auto"/>
        <w:ind w:right="0" w:hanging="360"/>
      </w:pPr>
      <w:r>
        <w:t xml:space="preserve">Repeat this procedure with the </w:t>
      </w:r>
      <w:proofErr w:type="gramStart"/>
      <w:r>
        <w:t>base, but</w:t>
      </w:r>
      <w:proofErr w:type="gramEnd"/>
      <w:r>
        <w:t xml:space="preserve"> use boiling water as the solvent. Once you remove these solutions from the hotplate, you do not need to cover them with a watch glass, since the water does not evaporate quickly. Don't forget to turn off the hotplate after you have finished dissolving all three compounds. </w:t>
      </w:r>
    </w:p>
    <w:p w14:paraId="2BCF7622" w14:textId="77777777" w:rsidR="00B03DF7" w:rsidRDefault="00E04317" w:rsidP="00024680">
      <w:pPr>
        <w:numPr>
          <w:ilvl w:val="0"/>
          <w:numId w:val="10"/>
        </w:numPr>
        <w:spacing w:line="250" w:lineRule="auto"/>
        <w:ind w:right="0" w:hanging="360"/>
      </w:pPr>
      <w:r>
        <w:t xml:space="preserve">Once the solution containing the neutral has cooled to room temperature, you should see some precipitate form. Put the beaker into an ice-water bath while you set up </w:t>
      </w:r>
      <w:proofErr w:type="gramStart"/>
      <w:r>
        <w:t>you</w:t>
      </w:r>
      <w:proofErr w:type="gramEnd"/>
      <w:r>
        <w:t xml:space="preserve"> Buchner funnel. </w:t>
      </w:r>
    </w:p>
    <w:p w14:paraId="50F3D07D" w14:textId="77777777" w:rsidR="00B03DF7" w:rsidRDefault="00E04317" w:rsidP="00024680">
      <w:pPr>
        <w:numPr>
          <w:ilvl w:val="0"/>
          <w:numId w:val="10"/>
        </w:numPr>
        <w:spacing w:line="250" w:lineRule="auto"/>
        <w:ind w:right="0" w:hanging="360"/>
      </w:pPr>
      <w:r>
        <w:t xml:space="preserve">After a minute or two in the ice-water bath, pour the neutral compound into the Buchner funnel and vacuum filter. Wash the crystals with ~5 mL of </w:t>
      </w:r>
      <w:r>
        <w:rPr>
          <w:u w:val="single" w:color="000000"/>
        </w:rPr>
        <w:t>cold methanol</w:t>
      </w:r>
      <w:r>
        <w:t xml:space="preserve">. Then move the crystals to labeled weigh boat. </w:t>
      </w:r>
    </w:p>
    <w:p w14:paraId="349238F5" w14:textId="77777777" w:rsidR="00B03DF7" w:rsidRDefault="00E04317" w:rsidP="00024680">
      <w:pPr>
        <w:numPr>
          <w:ilvl w:val="0"/>
          <w:numId w:val="10"/>
        </w:numPr>
        <w:spacing w:line="250" w:lineRule="auto"/>
        <w:ind w:right="0" w:hanging="360"/>
      </w:pPr>
      <w:r>
        <w:t xml:space="preserve">Repeat this process for the base compound. Wash these compounds with </w:t>
      </w:r>
      <w:r>
        <w:rPr>
          <w:u w:val="single" w:color="000000"/>
        </w:rPr>
        <w:t>cold water</w:t>
      </w:r>
      <w:r>
        <w:t xml:space="preserve"> instead of methanol. </w:t>
      </w:r>
    </w:p>
    <w:p w14:paraId="689FD7E8" w14:textId="77777777" w:rsidR="00B03DF7" w:rsidRDefault="002D4EFF" w:rsidP="00024680">
      <w:pPr>
        <w:numPr>
          <w:ilvl w:val="0"/>
          <w:numId w:val="10"/>
        </w:numPr>
        <w:spacing w:line="250" w:lineRule="auto"/>
        <w:ind w:right="0" w:hanging="360"/>
      </w:pPr>
      <w:r>
        <w:t>Once you have your two</w:t>
      </w:r>
      <w:r w:rsidR="00E04317">
        <w:t xml:space="preserve"> crystalline products, you can clean up your glassware and let your compounds air dry until the next week. </w:t>
      </w:r>
    </w:p>
    <w:p w14:paraId="572AD55E" w14:textId="77777777" w:rsidR="00B03DF7" w:rsidRDefault="00E04317" w:rsidP="00024680">
      <w:pPr>
        <w:numPr>
          <w:ilvl w:val="0"/>
          <w:numId w:val="10"/>
        </w:numPr>
        <w:spacing w:line="250" w:lineRule="auto"/>
        <w:ind w:right="0" w:hanging="360"/>
      </w:pPr>
      <w:r>
        <w:t xml:space="preserve">The following lab period, you need to obtain the mass and melting point of each of your two compounds using a Mel-Temp apparatus. </w:t>
      </w:r>
    </w:p>
    <w:p w14:paraId="21485B2E" w14:textId="77777777" w:rsidR="007D4356" w:rsidRDefault="00E04317">
      <w:pPr>
        <w:spacing w:line="259" w:lineRule="auto"/>
        <w:ind w:left="0" w:right="0" w:firstLine="0"/>
        <w:rPr>
          <w:sz w:val="20"/>
        </w:rPr>
      </w:pPr>
      <w:r>
        <w:rPr>
          <w:sz w:val="20"/>
        </w:rPr>
        <w:t xml:space="preserve">  </w:t>
      </w:r>
    </w:p>
    <w:p w14:paraId="4E922DA6" w14:textId="03216B73" w:rsidR="007D4356" w:rsidRDefault="007D4356" w:rsidP="00024680">
      <w:pPr>
        <w:spacing w:after="160" w:line="259" w:lineRule="auto"/>
        <w:ind w:left="0" w:right="0" w:firstLine="0"/>
        <w:rPr>
          <w:sz w:val="20"/>
        </w:rPr>
      </w:pPr>
      <w:r>
        <w:rPr>
          <w:sz w:val="20"/>
        </w:rPr>
        <w:br w:type="page"/>
      </w:r>
      <w:r w:rsidRPr="007D4356">
        <w:rPr>
          <w:b/>
          <w:sz w:val="32"/>
          <w:szCs w:val="32"/>
        </w:rPr>
        <w:lastRenderedPageBreak/>
        <w:t>List of Unknowns</w:t>
      </w:r>
    </w:p>
    <w:p w14:paraId="58EE1431" w14:textId="77777777" w:rsidR="00B03DF7" w:rsidRDefault="00B03DF7">
      <w:pPr>
        <w:spacing w:line="259" w:lineRule="auto"/>
        <w:ind w:left="0" w:right="0" w:firstLine="0"/>
      </w:pPr>
    </w:p>
    <w:tbl>
      <w:tblPr>
        <w:tblStyle w:val="TableGrid"/>
        <w:tblW w:w="0" w:type="auto"/>
        <w:tblInd w:w="58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51"/>
        <w:gridCol w:w="2969"/>
        <w:gridCol w:w="1440"/>
      </w:tblGrid>
      <w:tr w:rsidR="00161233" w14:paraId="50519A38" w14:textId="77777777" w:rsidTr="00024680">
        <w:trPr>
          <w:trHeight w:val="405"/>
        </w:trPr>
        <w:tc>
          <w:tcPr>
            <w:tcW w:w="1351" w:type="dxa"/>
            <w:tcBorders>
              <w:top w:val="single" w:sz="18" w:space="0" w:color="auto"/>
              <w:bottom w:val="single" w:sz="18" w:space="0" w:color="auto"/>
            </w:tcBorders>
            <w:vAlign w:val="center"/>
          </w:tcPr>
          <w:p w14:paraId="4089824E"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Type</w:t>
            </w:r>
          </w:p>
        </w:tc>
        <w:tc>
          <w:tcPr>
            <w:tcW w:w="2969" w:type="dxa"/>
            <w:tcBorders>
              <w:top w:val="single" w:sz="18" w:space="0" w:color="auto"/>
              <w:bottom w:val="single" w:sz="18" w:space="0" w:color="auto"/>
            </w:tcBorders>
            <w:vAlign w:val="center"/>
          </w:tcPr>
          <w:p w14:paraId="7658B064"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Unknown</w:t>
            </w:r>
          </w:p>
        </w:tc>
        <w:tc>
          <w:tcPr>
            <w:tcW w:w="1440" w:type="dxa"/>
            <w:tcBorders>
              <w:top w:val="single" w:sz="18" w:space="0" w:color="auto"/>
              <w:bottom w:val="single" w:sz="18" w:space="0" w:color="auto"/>
            </w:tcBorders>
            <w:vAlign w:val="center"/>
          </w:tcPr>
          <w:p w14:paraId="4373E62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color w:val="auto"/>
                <w:szCs w:val="24"/>
              </w:rPr>
              <w:t>MP (°C)</w:t>
            </w:r>
          </w:p>
        </w:tc>
      </w:tr>
      <w:tr w:rsidR="00161233" w14:paraId="411F469A" w14:textId="77777777" w:rsidTr="00024680">
        <w:tc>
          <w:tcPr>
            <w:tcW w:w="1351" w:type="dxa"/>
            <w:tcBorders>
              <w:top w:val="single" w:sz="18" w:space="0" w:color="auto"/>
              <w:bottom w:val="nil"/>
              <w:right w:val="single" w:sz="4" w:space="0" w:color="auto"/>
            </w:tcBorders>
            <w:vAlign w:val="center"/>
          </w:tcPr>
          <w:p w14:paraId="659642B0"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single" w:sz="18" w:space="0" w:color="auto"/>
              <w:left w:val="single" w:sz="4" w:space="0" w:color="auto"/>
              <w:bottom w:val="nil"/>
              <w:right w:val="single" w:sz="4" w:space="0" w:color="auto"/>
            </w:tcBorders>
            <w:vAlign w:val="center"/>
          </w:tcPr>
          <w:p w14:paraId="50894CCD"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4-nitroaniline</w:t>
            </w:r>
          </w:p>
        </w:tc>
        <w:tc>
          <w:tcPr>
            <w:tcW w:w="1440" w:type="dxa"/>
            <w:tcBorders>
              <w:top w:val="single" w:sz="18" w:space="0" w:color="auto"/>
              <w:left w:val="single" w:sz="4" w:space="0" w:color="auto"/>
              <w:bottom w:val="nil"/>
            </w:tcBorders>
            <w:vAlign w:val="center"/>
          </w:tcPr>
          <w:p w14:paraId="3E543FC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149–151</w:t>
            </w:r>
          </w:p>
        </w:tc>
      </w:tr>
      <w:tr w:rsidR="00161233" w14:paraId="12C07A45" w14:textId="77777777" w:rsidTr="00024680">
        <w:tc>
          <w:tcPr>
            <w:tcW w:w="1351" w:type="dxa"/>
            <w:tcBorders>
              <w:top w:val="nil"/>
              <w:bottom w:val="nil"/>
              <w:right w:val="single" w:sz="4" w:space="0" w:color="auto"/>
            </w:tcBorders>
            <w:vAlign w:val="center"/>
          </w:tcPr>
          <w:p w14:paraId="67E45A3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Basic</w:t>
            </w:r>
          </w:p>
        </w:tc>
        <w:tc>
          <w:tcPr>
            <w:tcW w:w="2969" w:type="dxa"/>
            <w:tcBorders>
              <w:top w:val="nil"/>
              <w:left w:val="single" w:sz="4" w:space="0" w:color="auto"/>
              <w:bottom w:val="nil"/>
              <w:right w:val="single" w:sz="4" w:space="0" w:color="auto"/>
            </w:tcBorders>
            <w:vAlign w:val="center"/>
          </w:tcPr>
          <w:p w14:paraId="3E65A26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2-methyl-4-nitroaniline</w:t>
            </w:r>
          </w:p>
        </w:tc>
        <w:tc>
          <w:tcPr>
            <w:tcW w:w="1440" w:type="dxa"/>
            <w:tcBorders>
              <w:top w:val="nil"/>
              <w:left w:val="single" w:sz="4" w:space="0" w:color="auto"/>
              <w:bottom w:val="nil"/>
            </w:tcBorders>
            <w:vAlign w:val="center"/>
          </w:tcPr>
          <w:p w14:paraId="5C1452FC"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131–133</w:t>
            </w:r>
          </w:p>
        </w:tc>
      </w:tr>
      <w:tr w:rsidR="00161233" w14:paraId="45386C61" w14:textId="77777777" w:rsidTr="00024680">
        <w:tc>
          <w:tcPr>
            <w:tcW w:w="1351" w:type="dxa"/>
            <w:tcBorders>
              <w:top w:val="nil"/>
              <w:bottom w:val="single" w:sz="18" w:space="0" w:color="auto"/>
              <w:right w:val="single" w:sz="4" w:space="0" w:color="auto"/>
            </w:tcBorders>
            <w:vAlign w:val="center"/>
          </w:tcPr>
          <w:p w14:paraId="7D1F720B"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 </w:t>
            </w:r>
          </w:p>
        </w:tc>
        <w:tc>
          <w:tcPr>
            <w:tcW w:w="2969" w:type="dxa"/>
            <w:tcBorders>
              <w:top w:val="nil"/>
              <w:left w:val="single" w:sz="4" w:space="0" w:color="auto"/>
              <w:bottom w:val="single" w:sz="18" w:space="0" w:color="auto"/>
              <w:right w:val="single" w:sz="4" w:space="0" w:color="auto"/>
            </w:tcBorders>
            <w:vAlign w:val="center"/>
          </w:tcPr>
          <w:p w14:paraId="3A670D0D"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3-nitroaniline</w:t>
            </w:r>
          </w:p>
        </w:tc>
        <w:tc>
          <w:tcPr>
            <w:tcW w:w="1440" w:type="dxa"/>
            <w:tcBorders>
              <w:top w:val="nil"/>
              <w:left w:val="single" w:sz="4" w:space="0" w:color="auto"/>
              <w:bottom w:val="single" w:sz="18" w:space="0" w:color="auto"/>
            </w:tcBorders>
            <w:vAlign w:val="center"/>
          </w:tcPr>
          <w:p w14:paraId="1E6C8BB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112–114</w:t>
            </w:r>
          </w:p>
        </w:tc>
      </w:tr>
      <w:tr w:rsidR="00161233" w14:paraId="428AC9A5" w14:textId="77777777" w:rsidTr="00024680">
        <w:tc>
          <w:tcPr>
            <w:tcW w:w="1351" w:type="dxa"/>
            <w:tcBorders>
              <w:top w:val="single" w:sz="18" w:space="0" w:color="auto"/>
              <w:bottom w:val="nil"/>
              <w:right w:val="single" w:sz="4" w:space="0" w:color="auto"/>
            </w:tcBorders>
            <w:vAlign w:val="center"/>
          </w:tcPr>
          <w:p w14:paraId="20A2A5F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 </w:t>
            </w:r>
          </w:p>
        </w:tc>
        <w:tc>
          <w:tcPr>
            <w:tcW w:w="2969" w:type="dxa"/>
            <w:tcBorders>
              <w:top w:val="single" w:sz="18" w:space="0" w:color="auto"/>
              <w:left w:val="single" w:sz="4" w:space="0" w:color="auto"/>
              <w:bottom w:val="nil"/>
              <w:right w:val="single" w:sz="4" w:space="0" w:color="auto"/>
            </w:tcBorders>
            <w:vAlign w:val="center"/>
          </w:tcPr>
          <w:p w14:paraId="1AC6080B"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9-fluorenone</w:t>
            </w:r>
          </w:p>
        </w:tc>
        <w:tc>
          <w:tcPr>
            <w:tcW w:w="1440" w:type="dxa"/>
            <w:tcBorders>
              <w:top w:val="single" w:sz="18" w:space="0" w:color="auto"/>
              <w:left w:val="single" w:sz="4" w:space="0" w:color="auto"/>
              <w:bottom w:val="nil"/>
            </w:tcBorders>
            <w:vAlign w:val="center"/>
          </w:tcPr>
          <w:p w14:paraId="3A2F4585"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82–85</w:t>
            </w:r>
          </w:p>
        </w:tc>
      </w:tr>
      <w:tr w:rsidR="00161233" w14:paraId="6E008AF8" w14:textId="77777777" w:rsidTr="00024680">
        <w:tc>
          <w:tcPr>
            <w:tcW w:w="1351" w:type="dxa"/>
            <w:tcBorders>
              <w:top w:val="nil"/>
              <w:bottom w:val="nil"/>
              <w:right w:val="single" w:sz="4" w:space="0" w:color="auto"/>
            </w:tcBorders>
            <w:vAlign w:val="center"/>
          </w:tcPr>
          <w:p w14:paraId="61669FF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b/>
                <w:bCs/>
                <w:i/>
                <w:iCs/>
                <w:color w:val="auto"/>
                <w:szCs w:val="24"/>
              </w:rPr>
              <w:t>Neutral</w:t>
            </w:r>
          </w:p>
        </w:tc>
        <w:tc>
          <w:tcPr>
            <w:tcW w:w="2969" w:type="dxa"/>
            <w:tcBorders>
              <w:top w:val="nil"/>
              <w:left w:val="single" w:sz="4" w:space="0" w:color="auto"/>
              <w:bottom w:val="nil"/>
              <w:right w:val="single" w:sz="4" w:space="0" w:color="auto"/>
            </w:tcBorders>
            <w:vAlign w:val="center"/>
          </w:tcPr>
          <w:p w14:paraId="3913F5EA"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anthracene</w:t>
            </w:r>
          </w:p>
        </w:tc>
        <w:tc>
          <w:tcPr>
            <w:tcW w:w="1440" w:type="dxa"/>
            <w:tcBorders>
              <w:top w:val="nil"/>
              <w:left w:val="single" w:sz="4" w:space="0" w:color="auto"/>
              <w:bottom w:val="nil"/>
            </w:tcBorders>
            <w:vAlign w:val="center"/>
          </w:tcPr>
          <w:p w14:paraId="4DCDDF6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216–218</w:t>
            </w:r>
          </w:p>
        </w:tc>
      </w:tr>
      <w:tr w:rsidR="00161233" w14:paraId="00A7B053" w14:textId="77777777" w:rsidTr="00024680">
        <w:tc>
          <w:tcPr>
            <w:tcW w:w="1351" w:type="dxa"/>
            <w:tcBorders>
              <w:top w:val="nil"/>
              <w:bottom w:val="nil"/>
              <w:right w:val="single" w:sz="4" w:space="0" w:color="auto"/>
            </w:tcBorders>
            <w:vAlign w:val="center"/>
          </w:tcPr>
          <w:p w14:paraId="25E0456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nil"/>
              <w:left w:val="single" w:sz="4" w:space="0" w:color="auto"/>
              <w:bottom w:val="nil"/>
              <w:right w:val="single" w:sz="4" w:space="0" w:color="auto"/>
            </w:tcBorders>
            <w:vAlign w:val="center"/>
          </w:tcPr>
          <w:p w14:paraId="27D35D42"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fluorene</w:t>
            </w:r>
          </w:p>
        </w:tc>
        <w:tc>
          <w:tcPr>
            <w:tcW w:w="1440" w:type="dxa"/>
            <w:tcBorders>
              <w:top w:val="nil"/>
              <w:left w:val="single" w:sz="4" w:space="0" w:color="auto"/>
              <w:bottom w:val="nil"/>
            </w:tcBorders>
            <w:vAlign w:val="center"/>
          </w:tcPr>
          <w:p w14:paraId="72AD6279"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114–116</w:t>
            </w:r>
          </w:p>
        </w:tc>
      </w:tr>
      <w:tr w:rsidR="00161233" w14:paraId="05589B4A" w14:textId="77777777" w:rsidTr="00024680">
        <w:tc>
          <w:tcPr>
            <w:tcW w:w="1351" w:type="dxa"/>
            <w:tcBorders>
              <w:top w:val="nil"/>
              <w:bottom w:val="single" w:sz="18" w:space="0" w:color="auto"/>
              <w:right w:val="single" w:sz="4" w:space="0" w:color="auto"/>
            </w:tcBorders>
            <w:vAlign w:val="center"/>
          </w:tcPr>
          <w:p w14:paraId="3C241713"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 </w:t>
            </w:r>
          </w:p>
        </w:tc>
        <w:tc>
          <w:tcPr>
            <w:tcW w:w="2969" w:type="dxa"/>
            <w:tcBorders>
              <w:top w:val="nil"/>
              <w:left w:val="single" w:sz="4" w:space="0" w:color="auto"/>
              <w:bottom w:val="single" w:sz="18" w:space="0" w:color="auto"/>
              <w:right w:val="single" w:sz="4" w:space="0" w:color="auto"/>
            </w:tcBorders>
            <w:vAlign w:val="center"/>
          </w:tcPr>
          <w:p w14:paraId="4F961336"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phenanthrene</w:t>
            </w:r>
          </w:p>
        </w:tc>
        <w:tc>
          <w:tcPr>
            <w:tcW w:w="1440" w:type="dxa"/>
            <w:tcBorders>
              <w:top w:val="nil"/>
              <w:left w:val="single" w:sz="4" w:space="0" w:color="auto"/>
              <w:bottom w:val="single" w:sz="18" w:space="0" w:color="auto"/>
            </w:tcBorders>
            <w:vAlign w:val="center"/>
          </w:tcPr>
          <w:p w14:paraId="4B6BE5B8" w14:textId="77777777" w:rsidR="00161233" w:rsidRPr="007D4356" w:rsidRDefault="00161233" w:rsidP="00161233">
            <w:pPr>
              <w:spacing w:before="100" w:beforeAutospacing="1" w:after="100" w:afterAutospacing="1" w:line="240" w:lineRule="auto"/>
              <w:ind w:left="0" w:right="0" w:firstLine="0"/>
              <w:rPr>
                <w:color w:val="auto"/>
                <w:szCs w:val="24"/>
              </w:rPr>
            </w:pPr>
            <w:r w:rsidRPr="007D4356">
              <w:rPr>
                <w:color w:val="auto"/>
                <w:szCs w:val="24"/>
              </w:rPr>
              <w:t>101–103</w:t>
            </w:r>
          </w:p>
        </w:tc>
      </w:tr>
    </w:tbl>
    <w:p w14:paraId="334A1863" w14:textId="77777777" w:rsidR="00161233" w:rsidRDefault="00161233">
      <w:pPr>
        <w:spacing w:line="259" w:lineRule="auto"/>
        <w:ind w:left="0" w:right="0" w:firstLine="0"/>
      </w:pPr>
    </w:p>
    <w:sectPr w:rsidR="00161233" w:rsidSect="00E9443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3ABA"/>
    <w:multiLevelType w:val="hybridMultilevel"/>
    <w:tmpl w:val="5EC4F3B6"/>
    <w:lvl w:ilvl="0" w:tplc="0409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04894"/>
    <w:multiLevelType w:val="hybridMultilevel"/>
    <w:tmpl w:val="23C800C2"/>
    <w:lvl w:ilvl="0" w:tplc="78C23F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E5208D"/>
    <w:multiLevelType w:val="multilevel"/>
    <w:tmpl w:val="F2F6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02FD1"/>
    <w:multiLevelType w:val="hybridMultilevel"/>
    <w:tmpl w:val="2B585E62"/>
    <w:lvl w:ilvl="0" w:tplc="5D90DE08">
      <w:start w:val="1"/>
      <w:numFmt w:val="decimal"/>
      <w:lvlText w:val="%1."/>
      <w:lvlJc w:val="left"/>
      <w:pPr>
        <w:ind w:left="705"/>
      </w:pPr>
      <w:rPr>
        <w:rFonts w:ascii="Times New Roman" w:hAnsi="Times New Roman" w:hint="default"/>
        <w:b/>
        <w:i w:val="0"/>
        <w:strike w:val="0"/>
        <w:dstrike w:val="0"/>
        <w:color w:val="000000"/>
        <w:sz w:val="24"/>
        <w:szCs w:val="20"/>
        <w:u w:val="none" w:color="000000"/>
        <w:bdr w:val="none" w:sz="0" w:space="0" w:color="auto"/>
        <w:shd w:val="clear" w:color="auto" w:fill="auto"/>
        <w:vertAlign w:val="baseline"/>
      </w:rPr>
    </w:lvl>
    <w:lvl w:ilvl="1" w:tplc="DD7C6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26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C84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23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E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6055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477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F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B80C8E"/>
    <w:multiLevelType w:val="hybridMultilevel"/>
    <w:tmpl w:val="BF9C7806"/>
    <w:lvl w:ilvl="0" w:tplc="5D90DE08">
      <w:start w:val="1"/>
      <w:numFmt w:val="decimal"/>
      <w:lvlText w:val="%1."/>
      <w:lvlJc w:val="left"/>
      <w:pPr>
        <w:ind w:left="360"/>
      </w:pPr>
      <w:rPr>
        <w:rFonts w:ascii="Times New Roman" w:hAnsi="Times New Roman" w:hint="default"/>
        <w:b/>
        <w:i w:val="0"/>
        <w:strike w:val="0"/>
        <w:dstrike w:val="0"/>
        <w:color w:val="333F48"/>
        <w:sz w:val="24"/>
        <w:szCs w:val="20"/>
        <w:u w:val="none" w:color="000000"/>
        <w:bdr w:val="none" w:sz="0" w:space="0" w:color="auto"/>
        <w:shd w:val="clear" w:color="auto" w:fill="auto"/>
        <w:vertAlign w:val="baseline"/>
      </w:rPr>
    </w:lvl>
    <w:lvl w:ilvl="1" w:tplc="4956DBDC">
      <w:start w:val="1"/>
      <w:numFmt w:val="bullet"/>
      <w:lvlText w:val="o"/>
      <w:lvlJc w:val="left"/>
      <w:pPr>
        <w:ind w:left="10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2" w:tplc="1818B316">
      <w:start w:val="1"/>
      <w:numFmt w:val="bullet"/>
      <w:lvlText w:val="▪"/>
      <w:lvlJc w:val="left"/>
      <w:pPr>
        <w:ind w:left="18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3" w:tplc="C7A0FEEA">
      <w:start w:val="1"/>
      <w:numFmt w:val="bullet"/>
      <w:lvlText w:val="•"/>
      <w:lvlJc w:val="left"/>
      <w:pPr>
        <w:ind w:left="25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4" w:tplc="F93053CA">
      <w:start w:val="1"/>
      <w:numFmt w:val="bullet"/>
      <w:lvlText w:val="o"/>
      <w:lvlJc w:val="left"/>
      <w:pPr>
        <w:ind w:left="324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5" w:tplc="E6747250">
      <w:start w:val="1"/>
      <w:numFmt w:val="bullet"/>
      <w:lvlText w:val="▪"/>
      <w:lvlJc w:val="left"/>
      <w:pPr>
        <w:ind w:left="39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6" w:tplc="D61C6E76">
      <w:start w:val="1"/>
      <w:numFmt w:val="bullet"/>
      <w:lvlText w:val="•"/>
      <w:lvlJc w:val="left"/>
      <w:pPr>
        <w:ind w:left="46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7" w:tplc="115E91A4">
      <w:start w:val="1"/>
      <w:numFmt w:val="bullet"/>
      <w:lvlText w:val="o"/>
      <w:lvlJc w:val="left"/>
      <w:pPr>
        <w:ind w:left="54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8" w:tplc="C03AF5E0">
      <w:start w:val="1"/>
      <w:numFmt w:val="bullet"/>
      <w:lvlText w:val="▪"/>
      <w:lvlJc w:val="left"/>
      <w:pPr>
        <w:ind w:left="61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abstractNum>
  <w:abstractNum w:abstractNumId="5" w15:restartNumberingAfterBreak="0">
    <w:nsid w:val="31D33525"/>
    <w:multiLevelType w:val="multilevel"/>
    <w:tmpl w:val="FE2ED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D7A"/>
    <w:multiLevelType w:val="multilevel"/>
    <w:tmpl w:val="B9BA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6016D"/>
    <w:multiLevelType w:val="multilevel"/>
    <w:tmpl w:val="B91AA852"/>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B45"/>
    <w:multiLevelType w:val="hybridMultilevel"/>
    <w:tmpl w:val="97D072B2"/>
    <w:lvl w:ilvl="0" w:tplc="B7E4397A">
      <w:start w:val="1"/>
      <w:numFmt w:val="bullet"/>
      <w:lvlText w:val="•"/>
      <w:lvlJc w:val="left"/>
      <w:pPr>
        <w:ind w:left="3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1" w:tplc="4956DBDC">
      <w:start w:val="1"/>
      <w:numFmt w:val="bullet"/>
      <w:lvlText w:val="o"/>
      <w:lvlJc w:val="left"/>
      <w:pPr>
        <w:ind w:left="10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2" w:tplc="1818B316">
      <w:start w:val="1"/>
      <w:numFmt w:val="bullet"/>
      <w:lvlText w:val="▪"/>
      <w:lvlJc w:val="left"/>
      <w:pPr>
        <w:ind w:left="18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3" w:tplc="C7A0FEEA">
      <w:start w:val="1"/>
      <w:numFmt w:val="bullet"/>
      <w:lvlText w:val="•"/>
      <w:lvlJc w:val="left"/>
      <w:pPr>
        <w:ind w:left="25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4" w:tplc="F93053CA">
      <w:start w:val="1"/>
      <w:numFmt w:val="bullet"/>
      <w:lvlText w:val="o"/>
      <w:lvlJc w:val="left"/>
      <w:pPr>
        <w:ind w:left="324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5" w:tplc="E6747250">
      <w:start w:val="1"/>
      <w:numFmt w:val="bullet"/>
      <w:lvlText w:val="▪"/>
      <w:lvlJc w:val="left"/>
      <w:pPr>
        <w:ind w:left="396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6" w:tplc="D61C6E76">
      <w:start w:val="1"/>
      <w:numFmt w:val="bullet"/>
      <w:lvlText w:val="•"/>
      <w:lvlJc w:val="left"/>
      <w:pPr>
        <w:ind w:left="468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7" w:tplc="115E91A4">
      <w:start w:val="1"/>
      <w:numFmt w:val="bullet"/>
      <w:lvlText w:val="o"/>
      <w:lvlJc w:val="left"/>
      <w:pPr>
        <w:ind w:left="540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lvl w:ilvl="8" w:tplc="C03AF5E0">
      <w:start w:val="1"/>
      <w:numFmt w:val="bullet"/>
      <w:lvlText w:val="▪"/>
      <w:lvlJc w:val="left"/>
      <w:pPr>
        <w:ind w:left="6120"/>
      </w:pPr>
      <w:rPr>
        <w:rFonts w:ascii="Arial" w:eastAsia="Arial" w:hAnsi="Arial" w:cs="Arial"/>
        <w:b w:val="0"/>
        <w:i w:val="0"/>
        <w:strike w:val="0"/>
        <w:dstrike w:val="0"/>
        <w:color w:val="333F48"/>
        <w:sz w:val="20"/>
        <w:szCs w:val="20"/>
        <w:u w:val="none" w:color="000000"/>
        <w:bdr w:val="none" w:sz="0" w:space="0" w:color="auto"/>
        <w:shd w:val="clear" w:color="auto" w:fill="auto"/>
        <w:vertAlign w:val="baseline"/>
      </w:rPr>
    </w:lvl>
  </w:abstractNum>
  <w:abstractNum w:abstractNumId="9" w15:restartNumberingAfterBreak="0">
    <w:nsid w:val="74B46B6E"/>
    <w:multiLevelType w:val="hybridMultilevel"/>
    <w:tmpl w:val="C292D796"/>
    <w:lvl w:ilvl="0" w:tplc="92462C8C">
      <w:start w:val="1"/>
      <w:numFmt w:val="decimal"/>
      <w:lvlText w:val="%1."/>
      <w:lvlJc w:val="left"/>
      <w:pPr>
        <w:ind w:left="705"/>
      </w:pPr>
      <w:rPr>
        <w:rFonts w:hint="default"/>
        <w:b w:val="0"/>
        <w:i w:val="0"/>
        <w:strike w:val="0"/>
        <w:dstrike w:val="0"/>
        <w:color w:val="000000"/>
        <w:sz w:val="24"/>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35105922">
    <w:abstractNumId w:val="8"/>
  </w:num>
  <w:num w:numId="2" w16cid:durableId="717051407">
    <w:abstractNumId w:val="1"/>
  </w:num>
  <w:num w:numId="3" w16cid:durableId="268244953">
    <w:abstractNumId w:val="0"/>
  </w:num>
  <w:num w:numId="4" w16cid:durableId="864826189">
    <w:abstractNumId w:val="3"/>
  </w:num>
  <w:num w:numId="5" w16cid:durableId="974674262">
    <w:abstractNumId w:val="4"/>
  </w:num>
  <w:num w:numId="6" w16cid:durableId="540363304">
    <w:abstractNumId w:val="7"/>
  </w:num>
  <w:num w:numId="7" w16cid:durableId="1091244170">
    <w:abstractNumId w:val="6"/>
  </w:num>
  <w:num w:numId="8" w16cid:durableId="1726174558">
    <w:abstractNumId w:val="2"/>
  </w:num>
  <w:num w:numId="9" w16cid:durableId="1161461522">
    <w:abstractNumId w:val="5"/>
  </w:num>
  <w:num w:numId="10" w16cid:durableId="814681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F7"/>
    <w:rsid w:val="00024680"/>
    <w:rsid w:val="00161233"/>
    <w:rsid w:val="00211645"/>
    <w:rsid w:val="00217CCE"/>
    <w:rsid w:val="00253A40"/>
    <w:rsid w:val="002D4EFF"/>
    <w:rsid w:val="00646A1A"/>
    <w:rsid w:val="007D4356"/>
    <w:rsid w:val="00852E4F"/>
    <w:rsid w:val="00A26127"/>
    <w:rsid w:val="00A370B9"/>
    <w:rsid w:val="00B03DF7"/>
    <w:rsid w:val="00C32C66"/>
    <w:rsid w:val="00D31176"/>
    <w:rsid w:val="00E04317"/>
    <w:rsid w:val="00E94438"/>
    <w:rsid w:val="00EC4133"/>
    <w:rsid w:val="00FA38E1"/>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1715"/>
  <w15:docId w15:val="{F6D84B77-D48E-44A5-A396-A8C315B2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right="258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44"/>
      <w:outlineLvl w:val="0"/>
    </w:pPr>
    <w:rPr>
      <w:rFonts w:ascii="Times New Roman" w:eastAsia="Times New Roman" w:hAnsi="Times New Roman" w:cs="Times New Roman"/>
      <w:b/>
      <w:color w:val="000000"/>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8"/>
    </w:rPr>
  </w:style>
  <w:style w:type="paragraph" w:styleId="BalloonText">
    <w:name w:val="Balloon Text"/>
    <w:basedOn w:val="Normal"/>
    <w:link w:val="BalloonTextChar"/>
    <w:uiPriority w:val="99"/>
    <w:semiHidden/>
    <w:unhideWhenUsed/>
    <w:rsid w:val="00E043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17"/>
    <w:rPr>
      <w:rFonts w:ascii="Segoe UI" w:eastAsia="Times New Roman" w:hAnsi="Segoe UI" w:cs="Segoe UI"/>
      <w:color w:val="000000"/>
      <w:sz w:val="18"/>
      <w:szCs w:val="18"/>
    </w:rPr>
  </w:style>
  <w:style w:type="paragraph" w:styleId="NormalWeb">
    <w:name w:val="Normal (Web)"/>
    <w:basedOn w:val="Normal"/>
    <w:uiPriority w:val="99"/>
    <w:semiHidden/>
    <w:unhideWhenUsed/>
    <w:rsid w:val="007D4356"/>
    <w:pPr>
      <w:spacing w:before="100" w:beforeAutospacing="1" w:after="100" w:afterAutospacing="1" w:line="240" w:lineRule="auto"/>
      <w:ind w:left="0" w:right="0" w:firstLine="0"/>
    </w:pPr>
    <w:rPr>
      <w:color w:val="auto"/>
      <w:szCs w:val="24"/>
    </w:rPr>
  </w:style>
  <w:style w:type="character" w:styleId="Strong">
    <w:name w:val="Strong"/>
    <w:basedOn w:val="DefaultParagraphFont"/>
    <w:uiPriority w:val="22"/>
    <w:qFormat/>
    <w:rsid w:val="007D4356"/>
    <w:rPr>
      <w:b/>
      <w:bCs/>
    </w:rPr>
  </w:style>
  <w:style w:type="character" w:styleId="Emphasis">
    <w:name w:val="Emphasis"/>
    <w:basedOn w:val="DefaultParagraphFont"/>
    <w:uiPriority w:val="20"/>
    <w:qFormat/>
    <w:rsid w:val="007D4356"/>
    <w:rPr>
      <w:i/>
      <w:iCs/>
    </w:rPr>
  </w:style>
  <w:style w:type="character" w:styleId="CommentReference">
    <w:name w:val="annotation reference"/>
    <w:basedOn w:val="DefaultParagraphFont"/>
    <w:uiPriority w:val="99"/>
    <w:semiHidden/>
    <w:unhideWhenUsed/>
    <w:rsid w:val="00FC7754"/>
    <w:rPr>
      <w:sz w:val="16"/>
      <w:szCs w:val="16"/>
    </w:rPr>
  </w:style>
  <w:style w:type="paragraph" w:styleId="CommentText">
    <w:name w:val="annotation text"/>
    <w:basedOn w:val="Normal"/>
    <w:link w:val="CommentTextChar"/>
    <w:uiPriority w:val="99"/>
    <w:semiHidden/>
    <w:unhideWhenUsed/>
    <w:rsid w:val="00FC7754"/>
    <w:pPr>
      <w:spacing w:line="240" w:lineRule="auto"/>
    </w:pPr>
    <w:rPr>
      <w:sz w:val="20"/>
      <w:szCs w:val="20"/>
    </w:rPr>
  </w:style>
  <w:style w:type="character" w:customStyle="1" w:styleId="CommentTextChar">
    <w:name w:val="Comment Text Char"/>
    <w:basedOn w:val="DefaultParagraphFont"/>
    <w:link w:val="CommentText"/>
    <w:uiPriority w:val="99"/>
    <w:semiHidden/>
    <w:rsid w:val="00FC775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C7754"/>
    <w:rPr>
      <w:b/>
      <w:bCs/>
    </w:rPr>
  </w:style>
  <w:style w:type="character" w:customStyle="1" w:styleId="CommentSubjectChar">
    <w:name w:val="Comment Subject Char"/>
    <w:basedOn w:val="CommentTextChar"/>
    <w:link w:val="CommentSubject"/>
    <w:uiPriority w:val="99"/>
    <w:semiHidden/>
    <w:rsid w:val="00FC7754"/>
    <w:rPr>
      <w:rFonts w:ascii="Times New Roman" w:eastAsia="Times New Roman" w:hAnsi="Times New Roman" w:cs="Times New Roman"/>
      <w:b/>
      <w:bCs/>
      <w:color w:val="000000"/>
      <w:sz w:val="20"/>
      <w:szCs w:val="20"/>
    </w:rPr>
  </w:style>
  <w:style w:type="table" w:styleId="TableGrid">
    <w:name w:val="Table Grid"/>
    <w:basedOn w:val="TableNormal"/>
    <w:uiPriority w:val="39"/>
    <w:rsid w:val="0016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538984">
      <w:bodyDiv w:val="1"/>
      <w:marLeft w:val="0"/>
      <w:marRight w:val="0"/>
      <w:marTop w:val="0"/>
      <w:marBottom w:val="0"/>
      <w:divBdr>
        <w:top w:val="none" w:sz="0" w:space="0" w:color="auto"/>
        <w:left w:val="none" w:sz="0" w:space="0" w:color="auto"/>
        <w:bottom w:val="none" w:sz="0" w:space="0" w:color="auto"/>
        <w:right w:val="none" w:sz="0" w:space="0" w:color="auto"/>
      </w:divBdr>
    </w:div>
    <w:div w:id="667942950">
      <w:bodyDiv w:val="1"/>
      <w:marLeft w:val="0"/>
      <w:marRight w:val="0"/>
      <w:marTop w:val="0"/>
      <w:marBottom w:val="0"/>
      <w:divBdr>
        <w:top w:val="none" w:sz="0" w:space="0" w:color="auto"/>
        <w:left w:val="none" w:sz="0" w:space="0" w:color="auto"/>
        <w:bottom w:val="none" w:sz="0" w:space="0" w:color="auto"/>
        <w:right w:val="none" w:sz="0" w:space="0" w:color="auto"/>
      </w:divBdr>
      <w:divsChild>
        <w:div w:id="1816096677">
          <w:marLeft w:val="0"/>
          <w:marRight w:val="0"/>
          <w:marTop w:val="0"/>
          <w:marBottom w:val="0"/>
          <w:divBdr>
            <w:top w:val="none" w:sz="0" w:space="0" w:color="auto"/>
            <w:left w:val="none" w:sz="0" w:space="0" w:color="auto"/>
            <w:bottom w:val="none" w:sz="0" w:space="0" w:color="auto"/>
            <w:right w:val="none" w:sz="0" w:space="0" w:color="auto"/>
          </w:divBdr>
          <w:divsChild>
            <w:div w:id="20863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328">
      <w:bodyDiv w:val="1"/>
      <w:marLeft w:val="0"/>
      <w:marRight w:val="0"/>
      <w:marTop w:val="0"/>
      <w:marBottom w:val="0"/>
      <w:divBdr>
        <w:top w:val="none" w:sz="0" w:space="0" w:color="auto"/>
        <w:left w:val="none" w:sz="0" w:space="0" w:color="auto"/>
        <w:bottom w:val="none" w:sz="0" w:space="0" w:color="auto"/>
        <w:right w:val="none" w:sz="0" w:space="0" w:color="auto"/>
      </w:divBdr>
    </w:div>
    <w:div w:id="183514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cp:lastModifiedBy>Fjetland, Conrad R</cp:lastModifiedBy>
  <cp:revision>12</cp:revision>
  <cp:lastPrinted>2019-02-13T16:42:00Z</cp:lastPrinted>
  <dcterms:created xsi:type="dcterms:W3CDTF">2018-09-10T15:46:00Z</dcterms:created>
  <dcterms:modified xsi:type="dcterms:W3CDTF">2024-09-19T14:42:00Z</dcterms:modified>
</cp:coreProperties>
</file>